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EE" w:rsidRPr="009121EE" w:rsidRDefault="009121EE" w:rsidP="009121EE">
      <w:pPr>
        <w:shd w:val="clear" w:color="auto" w:fill="FFFFFF"/>
        <w:spacing w:before="300" w:after="150" w:line="240" w:lineRule="auto"/>
        <w:outlineLvl w:val="2"/>
        <w:rPr>
          <w:rFonts w:ascii="fira_sanslight" w:eastAsia="Times New Roman" w:hAnsi="fira_sanslight" w:cs="Times New Roman"/>
          <w:color w:val="444444"/>
          <w:sz w:val="45"/>
          <w:szCs w:val="45"/>
          <w:lang w:eastAsia="ru-RU"/>
        </w:rPr>
      </w:pPr>
      <w:r w:rsidRPr="009121EE">
        <w:rPr>
          <w:rFonts w:ascii="fira_sanslight" w:eastAsia="Times New Roman" w:hAnsi="fira_sanslight" w:cs="Times New Roman"/>
          <w:color w:val="444444"/>
          <w:sz w:val="45"/>
          <w:szCs w:val="45"/>
          <w:lang w:eastAsia="ru-RU"/>
        </w:rPr>
        <w:t>Паспорт проекта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Наименование</w:t>
      </w:r>
    </w:p>
    <w:p w:rsidR="009121EE" w:rsidRPr="009121EE" w:rsidRDefault="009121EE" w:rsidP="009121EE">
      <w:pPr>
        <w:pBdr>
          <w:bottom w:val="dotted" w:sz="6" w:space="8" w:color="DDDDDD"/>
        </w:pBdr>
        <w:shd w:val="clear" w:color="auto" w:fill="FFFFFF"/>
        <w:spacing w:after="150" w:line="240" w:lineRule="auto"/>
        <w:ind w:left="720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О внесении изменений в перечень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ресурсов, и обязательных метрологических требований к ним, в том числе показателей точности измерений, утвержденный приказом Минэнерго России от 15 марта 2016 г. № 179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ID проекта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02/08/07-19/00093524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Дата создания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29 июля 2019 г.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Разработчик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Минэнерго России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Ответственный сотрудник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Белозерцева Любовь Юрьевна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Виды экономической деятельности</w:t>
      </w:r>
    </w:p>
    <w:p w:rsidR="009121EE" w:rsidRPr="009121EE" w:rsidRDefault="009121EE" w:rsidP="009121EE">
      <w:pPr>
        <w:pBdr>
          <w:bottom w:val="dotted" w:sz="6" w:space="8" w:color="DDDDDD"/>
        </w:pBdr>
        <w:shd w:val="clear" w:color="auto" w:fill="FFFFFF"/>
        <w:spacing w:after="150" w:line="240" w:lineRule="auto"/>
        <w:ind w:left="720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Добыча топливно-энергетических полезных ископаемых; Производство и распределение электроэнергии, газа и воды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Основание для разработки проекта акта</w:t>
      </w:r>
    </w:p>
    <w:p w:rsidR="009121EE" w:rsidRPr="009121EE" w:rsidRDefault="009121EE" w:rsidP="009121EE">
      <w:pPr>
        <w:pBdr>
          <w:bottom w:val="dotted" w:sz="6" w:space="8" w:color="DDDDDD"/>
        </w:pBdr>
        <w:shd w:val="clear" w:color="auto" w:fill="FFFFFF"/>
        <w:spacing w:after="150" w:line="240" w:lineRule="auto"/>
        <w:ind w:left="720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Федеральный закон от 26 июня 2008 г. № 102-ФЗ «Об обеспечении единства измерений» (Собрание законодательства Российской Федерации, 2008, № 26, ст. 3021; 2014, № 30 (ч. I), ст. 4255)</w:t>
      </w:r>
    </w:p>
    <w:p w:rsidR="009121EE" w:rsidRPr="009121EE" w:rsidRDefault="009121EE" w:rsidP="009121EE">
      <w:pPr>
        <w:pStyle w:val="pt-a"/>
        <w:shd w:val="clear" w:color="auto" w:fill="FFFFFF"/>
        <w:spacing w:before="0" w:beforeAutospacing="0" w:after="0" w:afterAutospacing="0" w:line="302" w:lineRule="atLeast"/>
        <w:rPr>
          <w:b/>
          <w:color w:val="000000"/>
          <w:sz w:val="40"/>
          <w:szCs w:val="40"/>
        </w:rPr>
      </w:pPr>
      <w:r w:rsidRPr="009121EE">
        <w:rPr>
          <w:rStyle w:val="pt-a0"/>
          <w:b/>
          <w:color w:val="000000"/>
          <w:sz w:val="40"/>
          <w:szCs w:val="40"/>
        </w:rPr>
        <w:t>Обоснование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proofErr w:type="gramStart"/>
      <w:r>
        <w:rPr>
          <w:rStyle w:val="pt-a0"/>
          <w:color w:val="000000"/>
          <w:sz w:val="28"/>
          <w:szCs w:val="28"/>
        </w:rPr>
        <w:t>В соответствии с частью 5 статьи 5 Федерального закона от 26.06.2008 № 102-ФЗ (в ред. от 13.07.2015) «Об обеспечении единства измерений» Федеральные органы исполнительной власти, осуществляющие нормативно-правовое регулирование в областях деятельности связанные с измерениями, на которые распространяется сфера государственного регулирования обеспечения единства измерений, определяют измерения, относящиеся к сфере государственного регулирования обеспечения единства измерений, и устанавливают к ним обязательные метрологические требования, в</w:t>
      </w:r>
      <w:proofErr w:type="gramEnd"/>
      <w:r>
        <w:rPr>
          <w:rStyle w:val="pt-a0"/>
          <w:color w:val="000000"/>
          <w:sz w:val="28"/>
          <w:szCs w:val="28"/>
        </w:rPr>
        <w:t xml:space="preserve"> том числе показатели точности измерений. Согласно перечислению 8, части 3 статьи 1 сфера государственного регулирования обеспечения единства измерений распространяется на измерения, которые выполняются при выполнении государственных учетных операций и учете количества энергетических ресурсов. В соответствии с перечислением 1 статьи 2 Федерального закона от 27.07.2010 № 190-ФЗ (в ред. от 29.07.2018) «О теплоснабжении» тепловая энергия является энергетическим ресурсом. Исходя из вышесказанного, измерения количества тепловой энергии, теплоносителя, выполняемые при их учете, должны быть включены в перечень измерений, относящихся к сфере государственного регулирования обеспечения единства измерений.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Федеральным законом «О теплоснабжении» и Правилами коммерческого учета тепловой энергии, теплоносителя, утвержденных постановлением Правительства РФ от 18.11.2013 № 1034 «О коммерческом учете тепловой энергии, теплоносителя» введены понятия открытые и закрытые системы водяного теплоснабжения. В связи с этим, в предлагаемом проекте приказа так же введены раздельные требования к открытым и закрытым системам теплоснабжения. Требования к измерениям, выполняемых в открытых системах теплоснабжения вводятся до 31.12.2021, поскольку частью 9 ФЗ «О теплоснабжении» установлено, </w:t>
      </w:r>
      <w:r>
        <w:rPr>
          <w:rStyle w:val="pt-a0"/>
          <w:color w:val="000000"/>
          <w:sz w:val="28"/>
          <w:szCs w:val="28"/>
        </w:rPr>
        <w:lastRenderedPageBreak/>
        <w:t>что с 1 января 2022 года использование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Частью 115 Методики осуществления коммерческого учета тепловой энергии, теплоносителя, утвержденной приказом Минстроя России от 17.03.2014 №99/</w:t>
      </w:r>
      <w:proofErr w:type="spellStart"/>
      <w:proofErr w:type="gramStart"/>
      <w:r>
        <w:rPr>
          <w:rStyle w:val="pt-a0"/>
          <w:color w:val="000000"/>
          <w:sz w:val="28"/>
          <w:szCs w:val="28"/>
        </w:rPr>
        <w:t>пр</w:t>
      </w:r>
      <w:proofErr w:type="spellEnd"/>
      <w:proofErr w:type="gramEnd"/>
      <w:r>
        <w:rPr>
          <w:rStyle w:val="pt-a0"/>
          <w:color w:val="000000"/>
          <w:sz w:val="28"/>
          <w:szCs w:val="28"/>
        </w:rPr>
        <w:t xml:space="preserve"> «Об утверждении Методики осуществления коммерческого учета тепловой энергии, теплоносителя», установлено что для измерения тепловой энергии, теплоносителя в водяных системах водоснабжения допускается применять теплосчетчики класса точности 1 и 2. Требования к таким теплосчетчикам, в том числе требования к метрологическим характеристикам, установлены ГОСТ </w:t>
      </w:r>
      <w:proofErr w:type="gramStart"/>
      <w:r>
        <w:rPr>
          <w:rStyle w:val="pt-a0"/>
          <w:color w:val="000000"/>
          <w:sz w:val="28"/>
          <w:szCs w:val="28"/>
        </w:rPr>
        <w:t>Р</w:t>
      </w:r>
      <w:proofErr w:type="gramEnd"/>
      <w:r>
        <w:rPr>
          <w:rStyle w:val="pt-a0"/>
          <w:color w:val="000000"/>
          <w:sz w:val="28"/>
          <w:szCs w:val="28"/>
        </w:rPr>
        <w:t xml:space="preserve"> 51649-2014 «Теплосчетчики для водяных систем теплоснабжения. Общие технические условия» и ГОСТ </w:t>
      </w:r>
      <w:proofErr w:type="gramStart"/>
      <w:r>
        <w:rPr>
          <w:rStyle w:val="pt-a0"/>
          <w:color w:val="000000"/>
          <w:sz w:val="28"/>
          <w:szCs w:val="28"/>
        </w:rPr>
        <w:t>Р</w:t>
      </w:r>
      <w:proofErr w:type="gramEnd"/>
      <w:r>
        <w:rPr>
          <w:rStyle w:val="pt-a0"/>
          <w:color w:val="000000"/>
          <w:sz w:val="28"/>
          <w:szCs w:val="28"/>
        </w:rPr>
        <w:t> 56942-2016 «Автоматизированные измерительные системы контроля и учета тепловой энергии. Общие технические условия». Поскольку теплосчетчик является средством измерений, который непосредственно осуществляет измерение количества тепловой энергии и теплоносителя с нормированными метрологическими характеристиками, то погрешность измерений тепловой энергии, теплоносителя будет соответствовать погрешности теплосчетчика. Пунктом 8.4, указанного стандарта, установлены режимы, при которых определяют погрешность теплосчетчиков, а формулы расчета погрешности приведены в пункте 5.1.8. Значения допускаемой погрешности измерений, приведенные в проекте приказа, определены для наиболее неблагоприятной комбинации допустимых исходных данных, следующим образом.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Теплосчетчики класса 1.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Принятые исходные данные: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Наименьшая разность температуры в подающем и обратном трубопроводах </w:t>
      </w:r>
      <w:proofErr w:type="spellStart"/>
      <w:r>
        <w:rPr>
          <w:rStyle w:val="pt-a0"/>
          <w:color w:val="000000"/>
          <w:sz w:val="28"/>
          <w:szCs w:val="28"/>
        </w:rPr>
        <w:t>Δ</w:t>
      </w:r>
      <w:proofErr w:type="gramStart"/>
      <w:r>
        <w:rPr>
          <w:rStyle w:val="pt-a0"/>
          <w:color w:val="000000"/>
          <w:sz w:val="28"/>
          <w:szCs w:val="28"/>
        </w:rPr>
        <w:t>t</w:t>
      </w:r>
      <w:proofErr w:type="gramEnd"/>
      <w:r>
        <w:rPr>
          <w:rStyle w:val="pt-a0"/>
          <w:color w:val="000000"/>
          <w:sz w:val="28"/>
          <w:szCs w:val="28"/>
        </w:rPr>
        <w:t>Н</w:t>
      </w:r>
      <w:proofErr w:type="spellEnd"/>
      <w:r>
        <w:rPr>
          <w:rStyle w:val="pt-a0"/>
          <w:color w:val="000000"/>
          <w:sz w:val="28"/>
          <w:szCs w:val="28"/>
        </w:rPr>
        <w:t xml:space="preserve"> = 10 °C; 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Отношение верхнего предела измерений расхода к нижнему пределу измерений </w:t>
      </w:r>
      <w:proofErr w:type="gramStart"/>
      <w:r>
        <w:rPr>
          <w:rStyle w:val="pt-a0"/>
          <w:color w:val="000000"/>
          <w:sz w:val="28"/>
          <w:szCs w:val="28"/>
        </w:rPr>
        <w:t>G</w:t>
      </w:r>
      <w:proofErr w:type="gramEnd"/>
      <w:r>
        <w:rPr>
          <w:rStyle w:val="pt-a0"/>
          <w:color w:val="000000"/>
          <w:sz w:val="28"/>
          <w:szCs w:val="28"/>
        </w:rPr>
        <w:t>В/GH = 250;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Разность температуры в подающем и обратном трубопроводах </w:t>
      </w:r>
      <w:proofErr w:type="spellStart"/>
      <w:r>
        <w:rPr>
          <w:rStyle w:val="pt-a0"/>
          <w:color w:val="000000"/>
          <w:sz w:val="28"/>
          <w:szCs w:val="28"/>
        </w:rPr>
        <w:t>Δt</w:t>
      </w:r>
      <w:proofErr w:type="spellEnd"/>
      <w:r>
        <w:rPr>
          <w:rStyle w:val="pt-a0"/>
          <w:color w:val="000000"/>
          <w:sz w:val="28"/>
          <w:szCs w:val="28"/>
        </w:rPr>
        <w:t xml:space="preserve"> = 10 °C;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Расход теплоносителя G = 0,1·GB.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Результаты расчета: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Погрешность измерения расхода: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Погрешность измерения тепловой энергии: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С учетом округления получаем значение </w:t>
      </w:r>
      <w:r>
        <w:rPr>
          <w:rStyle w:val="pt-a0-000002"/>
          <w:color w:val="000000"/>
          <w:sz w:val="28"/>
          <w:szCs w:val="28"/>
        </w:rPr>
        <w:t>±6,5 %.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Теплосчетчики класса 2.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Принятые исходные данные: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Наименьшая разность температуры в подающем и обратном трубопроводах </w:t>
      </w:r>
      <w:proofErr w:type="spellStart"/>
      <w:r>
        <w:rPr>
          <w:rStyle w:val="pt-a0"/>
          <w:color w:val="000000"/>
          <w:sz w:val="28"/>
          <w:szCs w:val="28"/>
        </w:rPr>
        <w:t>Δ</w:t>
      </w:r>
      <w:proofErr w:type="gramStart"/>
      <w:r>
        <w:rPr>
          <w:rStyle w:val="pt-a0"/>
          <w:color w:val="000000"/>
          <w:sz w:val="28"/>
          <w:szCs w:val="28"/>
        </w:rPr>
        <w:t>t</w:t>
      </w:r>
      <w:proofErr w:type="gramEnd"/>
      <w:r>
        <w:rPr>
          <w:rStyle w:val="pt-a0"/>
          <w:color w:val="000000"/>
          <w:sz w:val="28"/>
          <w:szCs w:val="28"/>
        </w:rPr>
        <w:t>Н</w:t>
      </w:r>
      <w:proofErr w:type="spellEnd"/>
      <w:r>
        <w:rPr>
          <w:rStyle w:val="pt-a0"/>
          <w:color w:val="000000"/>
          <w:sz w:val="28"/>
          <w:szCs w:val="28"/>
        </w:rPr>
        <w:t xml:space="preserve"> = 10 °C; 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Отношение верхнего предела измерений расхода к нижнему пределу измерений </w:t>
      </w:r>
      <w:proofErr w:type="gramStart"/>
      <w:r>
        <w:rPr>
          <w:rStyle w:val="pt-a0"/>
          <w:color w:val="000000"/>
          <w:sz w:val="28"/>
          <w:szCs w:val="28"/>
        </w:rPr>
        <w:t>G</w:t>
      </w:r>
      <w:proofErr w:type="gramEnd"/>
      <w:r>
        <w:rPr>
          <w:rStyle w:val="pt-a0"/>
          <w:color w:val="000000"/>
          <w:sz w:val="28"/>
          <w:szCs w:val="28"/>
        </w:rPr>
        <w:t>В/GH = 150;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Разность температуры в подающем и обратном трубопроводах </w:t>
      </w:r>
      <w:proofErr w:type="spellStart"/>
      <w:r>
        <w:rPr>
          <w:rStyle w:val="pt-a0"/>
          <w:color w:val="000000"/>
          <w:sz w:val="28"/>
          <w:szCs w:val="28"/>
        </w:rPr>
        <w:t>Δt</w:t>
      </w:r>
      <w:proofErr w:type="spellEnd"/>
      <w:r>
        <w:rPr>
          <w:rStyle w:val="pt-a0"/>
          <w:color w:val="000000"/>
          <w:sz w:val="28"/>
          <w:szCs w:val="28"/>
        </w:rPr>
        <w:t xml:space="preserve"> = 10 °C;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Расход теплоносителя G = 0,1·GB.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Результаты расчета: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>Погрешность измерения расхода: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lastRenderedPageBreak/>
        <w:t>Погрешность измерения тепловой энергии: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С учетом округления получаем значение </w:t>
      </w:r>
      <w:r>
        <w:rPr>
          <w:rStyle w:val="pt-a0-000002"/>
          <w:color w:val="000000"/>
          <w:sz w:val="28"/>
          <w:szCs w:val="28"/>
        </w:rPr>
        <w:t>±7,5 %.</w:t>
      </w:r>
    </w:p>
    <w:p w:rsidR="009121EE" w:rsidRDefault="009121EE" w:rsidP="009121EE">
      <w:pPr>
        <w:pStyle w:val="pt-consplusnormal-000001"/>
        <w:shd w:val="clear" w:color="auto" w:fill="FFFFFF"/>
        <w:spacing w:before="0" w:beforeAutospacing="0" w:after="0" w:afterAutospacing="0" w:line="302" w:lineRule="atLeast"/>
        <w:ind w:firstLine="850"/>
        <w:jc w:val="both"/>
        <w:rPr>
          <w:color w:val="000000"/>
          <w:sz w:val="28"/>
          <w:szCs w:val="28"/>
        </w:rPr>
      </w:pPr>
      <w:r>
        <w:rPr>
          <w:rStyle w:val="pt-a0"/>
          <w:color w:val="000000"/>
          <w:sz w:val="28"/>
          <w:szCs w:val="28"/>
        </w:rPr>
        <w:t xml:space="preserve">Значения допускаемой погрешности измерений тепловой энергии и количества теплоносителя в паровых системах теплоснабжения согласованы со значениями указанными в Методике осуществления коммерческого учета тепловой энергии, теплоносителя. </w:t>
      </w:r>
    </w:p>
    <w:p w:rsidR="00E054A2" w:rsidRDefault="00E054A2" w:rsidP="009121EE"/>
    <w:p w:rsidR="009121EE" w:rsidRPr="009121EE" w:rsidRDefault="009121EE" w:rsidP="009121EE">
      <w:pPr>
        <w:shd w:val="clear" w:color="auto" w:fill="FFFFFF"/>
        <w:spacing w:before="300" w:after="150" w:line="240" w:lineRule="auto"/>
        <w:outlineLvl w:val="2"/>
        <w:rPr>
          <w:rFonts w:ascii="fira_sanslight" w:eastAsia="Times New Roman" w:hAnsi="fira_sanslight" w:cs="Times New Roman"/>
          <w:color w:val="444444"/>
          <w:sz w:val="45"/>
          <w:szCs w:val="45"/>
          <w:lang w:eastAsia="ru-RU"/>
        </w:rPr>
      </w:pPr>
      <w:r w:rsidRPr="009121EE">
        <w:rPr>
          <w:rFonts w:ascii="fira_sanslight" w:eastAsia="Times New Roman" w:hAnsi="fira_sanslight" w:cs="Times New Roman"/>
          <w:color w:val="444444"/>
          <w:sz w:val="45"/>
          <w:szCs w:val="45"/>
          <w:lang w:eastAsia="ru-RU"/>
        </w:rPr>
        <w:t>Размещение текста проекта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Текущая версия текста проекта нормативного правового акта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Проект приказа 179.docx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Дополнительные документы к тексту проекта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Обоснование.docx от 29.07.2019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Сводный отчет в отношении нормативного правового акта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Сводный отчёт.docx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Дата начала публичного обсуждения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29 июля 2019 г.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Дата окончания публичного обсуждения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23 августа 2019 г.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Длительность публичного обсуждения (в рабочих днях)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20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Электронный адрес для отправки своих предложений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BelozertsevaLY@minenergo.gov.ru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Почтовый адрес для отправки своих предложений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ул. Щепкина, д. 42, стр. 1, стр. 2 г. Москва, ГСП-6, 107996</w:t>
      </w:r>
    </w:p>
    <w:p w:rsidR="009121EE" w:rsidRPr="009121EE" w:rsidRDefault="009121EE" w:rsidP="009121EE">
      <w:pPr>
        <w:shd w:val="clear" w:color="auto" w:fill="FFFFFF"/>
        <w:spacing w:after="0" w:line="240" w:lineRule="auto"/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</w:pPr>
      <w:r w:rsidRPr="009121EE"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>Контактный телефон ответственного лица</w:t>
      </w:r>
      <w:r>
        <w:rPr>
          <w:rFonts w:ascii="fira_sanslight" w:eastAsia="Times New Roman" w:hAnsi="fira_sanslight" w:cs="Times New Roman"/>
          <w:b/>
          <w:bCs/>
          <w:color w:val="444444"/>
          <w:sz w:val="21"/>
          <w:szCs w:val="21"/>
          <w:lang w:eastAsia="ru-RU"/>
        </w:rPr>
        <w:t xml:space="preserve"> </w:t>
      </w:r>
      <w:r w:rsidRPr="009121EE">
        <w:rPr>
          <w:rFonts w:ascii="fira_sanslight" w:eastAsia="Times New Roman" w:hAnsi="fira_sanslight" w:cs="Times New Roman"/>
          <w:color w:val="444444"/>
          <w:sz w:val="21"/>
          <w:szCs w:val="21"/>
          <w:lang w:eastAsia="ru-RU"/>
        </w:rPr>
        <w:t>+7 (495) 631-89-81</w:t>
      </w:r>
    </w:p>
    <w:p w:rsidR="009121EE" w:rsidRDefault="009121EE" w:rsidP="009121EE"/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перечень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ресурсов, и обязательных метрологических требований к ним, в том числе показателей точности измерений, утвержденный приказом Минэнерго России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15 марта 2016 г. № 179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32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8" w:history="1">
        <w:r w:rsidRPr="009121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8 части 3 статьи 1</w:t>
        </w:r>
      </w:hyperlink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9" w:history="1">
        <w:r w:rsidRPr="009121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 статьи 5</w:t>
        </w:r>
      </w:hyperlink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26 июня 2008 г. № 102-ФЗ «Об обеспечении единства измерений» (Собрание законодательства Российской Федерации, 2008, № 26, ст. 3021; </w:t>
      </w:r>
      <w:proofErr w:type="gramStart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2014,  № 30 (ч. </w:t>
      </w:r>
      <w:r w:rsidRPr="009121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ст. 4255), а также </w:t>
      </w:r>
      <w:hyperlink r:id="rId10" w:history="1">
        <w:r w:rsidRPr="009121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</w:t>
        </w:r>
      </w:hyperlink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Министерстве энергетики Российской Федерации, утвержденного постановлением Правительства Российской Федерации от 28 мая 2008 г. № 400 (Собрание законодательства Российской Федерации, 2008, № 22, ст. 2577; 2010, № 9, ст. 960; 2011, № 44, ст. 6269; 2012, № 40, ст. 5449; 2013, № 29, ст. 3970;</w:t>
      </w:r>
      <w:proofErr w:type="gramEnd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2018, № 31, ст. 5006; 2019, № 5, ст. 391; № 19, ст. 2300),  </w:t>
      </w:r>
      <w:proofErr w:type="gramStart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> р и к а з ы в а ю: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32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</w:t>
      </w:r>
      <w:hyperlink w:anchor="P30" w:history="1">
        <w:r w:rsidRPr="009121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ресурсов, и обязательных метрологических требований к ним, в том числе показателей точности измерений, утвержденный приказом Минэнерго России от 15 марта 2016 г. № 179 </w:t>
      </w: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(зарегистрирован Минюстом России 8 апреля 2016 г., регистрационный № 41718), с изменениями, внесенными приказом Минэнерго России от</w:t>
      </w:r>
      <w:proofErr w:type="gramEnd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>24 апреля 2018 г. № 306 «О внесении изменений в перечень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ресурсов, и обязательных метрологических требований к ним, в том числе показателей точности измерений, утвержденный приказом Минэнерго России от 15 марта 2016 г. № 179» (зарегистрирован Минюстом России 18 мая 2018 г., регистрационный № 51119).</w:t>
      </w:r>
      <w:proofErr w:type="gramEnd"/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                                                                                                              А.В. </w:t>
      </w:r>
      <w:proofErr w:type="spellStart"/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Новак</w:t>
      </w:r>
      <w:proofErr w:type="spellEnd"/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ind w:right="5670"/>
        <w:rPr>
          <w:rFonts w:ascii="Times New Roman" w:eastAsia="Calibri" w:hAnsi="Times New Roman" w:cs="Times New Roman"/>
          <w:sz w:val="16"/>
          <w:szCs w:val="16"/>
        </w:rPr>
      </w:pPr>
    </w:p>
    <w:p w:rsidR="009121EE" w:rsidRPr="009121EE" w:rsidRDefault="009121EE" w:rsidP="009121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121EE">
        <w:rPr>
          <w:rFonts w:ascii="Times New Roman" w:eastAsia="Times New Roman" w:hAnsi="Times New Roman" w:cs="Times New Roman"/>
          <w:sz w:val="16"/>
          <w:szCs w:val="16"/>
          <w:lang w:eastAsia="ru-RU"/>
        </w:rPr>
        <w:t>Департамент добычи и транспортировки нефти и газа</w:t>
      </w:r>
    </w:p>
    <w:p w:rsidR="009121EE" w:rsidRPr="009121EE" w:rsidRDefault="009121EE" w:rsidP="009121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121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Белозерцева Любовь Юрьевна  </w:t>
      </w:r>
    </w:p>
    <w:p w:rsidR="009121EE" w:rsidRPr="009121EE" w:rsidRDefault="009121EE" w:rsidP="009121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121EE">
        <w:rPr>
          <w:rFonts w:ascii="Times New Roman" w:eastAsia="Times New Roman" w:hAnsi="Times New Roman" w:cs="Times New Roman"/>
          <w:sz w:val="16"/>
          <w:szCs w:val="16"/>
          <w:lang w:eastAsia="ru-RU"/>
        </w:rPr>
        <w:t>(495) 631-89-81</w:t>
      </w:r>
    </w:p>
    <w:p w:rsidR="009121EE" w:rsidRPr="009121EE" w:rsidRDefault="009121EE" w:rsidP="009121EE">
      <w:pPr>
        <w:rPr>
          <w:rFonts w:ascii="Calibri" w:eastAsia="Calibri" w:hAnsi="Calibri" w:cs="Times New Roman"/>
        </w:rPr>
        <w:sectPr w:rsidR="009121EE" w:rsidRPr="009121EE" w:rsidSect="00D6730D">
          <w:head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ind w:left="116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УТВЕРЖДЕНЫ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приказом  Минэнерго  России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от «__»______  201__ г. № __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P30"/>
      <w:bookmarkEnd w:id="0"/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ind w:right="53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Изменения,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ind w:right="53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1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которые вносятся в перечень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ресурсов, и обязательных метрологических требований к ним, в том числе показателей точности измерений, утвержденный приказом Минэнерго России от 15 </w:t>
      </w:r>
      <w:bookmarkStart w:id="1" w:name="_GoBack"/>
      <w:bookmarkEnd w:id="1"/>
      <w:r w:rsidRPr="0091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 2016 г. № 179</w:t>
      </w:r>
      <w:proofErr w:type="gramEnd"/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1 изложить в следующей редакции: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"/>
        <w:gridCol w:w="938"/>
        <w:gridCol w:w="5954"/>
        <w:gridCol w:w="2551"/>
        <w:gridCol w:w="4959"/>
        <w:gridCol w:w="428"/>
      </w:tblGrid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 количества нефтяного сырья: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нефти добытой, первой по своему качеству соответствующей национальному стандарту, при хранении и (или) погрузке (выгрузке) для (после) транспортировки магистральным трубопроводным, железнодорожным, автомобильным, водным видами транспорта:</w:t>
            </w:r>
            <w:proofErr w:type="gramEnd"/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прямым и косвенным методами динамических измерений</w:t>
            </w:r>
          </w:p>
        </w:tc>
        <w:tc>
          <w:tcPr>
            <w:tcW w:w="2551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0,25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0,35 (нетто)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прямым методом статических измерений взвешиванием на весах расцепленных железнодорожных цистерн и автомобильных цистерн</w:t>
            </w:r>
          </w:p>
        </w:tc>
        <w:tc>
          <w:tcPr>
            <w:tcW w:w="2551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0,40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0,50 (нетто)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1.1.3.</w:t>
            </w:r>
          </w:p>
        </w:tc>
        <w:tc>
          <w:tcPr>
            <w:tcW w:w="5954" w:type="dxa"/>
            <w:tcBorders>
              <w:bottom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прямым методом статических измерений </w:t>
            </w: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взвешиванием на весах движущихся</w:t>
            </w: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1"/>
            </w: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нерасцепленных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цистерн и составов из них:</w:t>
            </w:r>
          </w:p>
        </w:tc>
        <w:tc>
          <w:tcPr>
            <w:tcW w:w="2551" w:type="dxa"/>
            <w:vMerge w:val="restart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 ограничений</w:t>
            </w:r>
          </w:p>
        </w:tc>
        <w:tc>
          <w:tcPr>
            <w:tcW w:w="4959" w:type="dxa"/>
            <w:tcBorders>
              <w:bottom w:val="nil"/>
              <w:right w:val="single" w:sz="4" w:space="0" w:color="auto"/>
            </w:tcBorders>
            <w:vAlign w:val="center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blPrEx>
          <w:tblBorders>
            <w:insideH w:val="nil"/>
          </w:tblBorders>
        </w:tblPrEx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bottom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составов общей массой до 1000 тонн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  <w:vMerge w:val="restart"/>
            <w:tcBorders>
              <w:top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±1,0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1,1 (нетто)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2,5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2</w:t>
            </w: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,6</w:t>
            </w: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(нетто)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составов общей массой 1000 тонн и более</w:t>
            </w:r>
          </w:p>
        </w:tc>
        <w:tc>
          <w:tcPr>
            <w:tcW w:w="2551" w:type="dxa"/>
            <w:vMerge/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  <w:vMerge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1.1.4.</w:t>
            </w:r>
          </w:p>
        </w:tc>
        <w:tc>
          <w:tcPr>
            <w:tcW w:w="5954" w:type="dxa"/>
            <w:vMerge w:val="restart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косвенным методом статических измерений и косвенным методом измерений, основанным на гидростатическом принципе</w:t>
            </w:r>
          </w:p>
        </w:tc>
        <w:tc>
          <w:tcPr>
            <w:tcW w:w="2551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т и более</w:t>
            </w: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0,50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0,60 (нетто)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200 т</w:t>
            </w: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0,65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0,75 (нетто)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rPr>
          <w:trHeight w:val="205"/>
        </w:trPr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sz w:val="28"/>
                <w:szCs w:val="28"/>
              </w:rPr>
              <w:t>нефтяного сырья, направляемого на переработку (в целях определения налоговой базы по акцизу на нефтяное сырье):</w:t>
            </w:r>
          </w:p>
        </w:tc>
        <w:tc>
          <w:tcPr>
            <w:tcW w:w="2551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прямым и косвенным методами динамических измерений</w:t>
            </w:r>
          </w:p>
        </w:tc>
        <w:tc>
          <w:tcPr>
            <w:tcW w:w="2551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959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0,35 (брутто)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 0,50 (нетто)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1EE" w:rsidRPr="009121EE" w:rsidRDefault="009121EE" w:rsidP="009121EE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1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позицией 14 следующего содержания:</w:t>
      </w:r>
    </w:p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"/>
        <w:gridCol w:w="938"/>
        <w:gridCol w:w="5954"/>
        <w:gridCol w:w="3118"/>
        <w:gridCol w:w="4392"/>
        <w:gridCol w:w="428"/>
      </w:tblGrid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тепловой энергии, теплоносителя</w:t>
            </w:r>
          </w:p>
        </w:tc>
        <w:tc>
          <w:tcPr>
            <w:tcW w:w="3118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14.1.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тепловой энергии в водяных системах теплоснабжения в точках учета тепловой энергии, теплоносителя: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tabs>
                <w:tab w:val="left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закрытые водяные системы теплоснабжения: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 применении теплосчетчиков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51649-2014 «Теплосчетчики для водяных систем теплоснабжения. Общие технические условия», утвержденному и 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9 июля 2014 г. № 763-ст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2014), класса 1 и измерительных систем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56942-2016 «Автоматизированные измерительные системы контроля и учета тепловой энергии. Общие технические условия», утвержденному и 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1 июня 2016 г. № 461-ст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2016), на их основе;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 применении теплосчетчиков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51649-2014 «Теплосчетчики для водяных систем теплоснабжения. Общие технические условия», утвержденному и 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9 июля 2014 г. № 763-ст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2015), класса 2 и измерительных систем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56942-2016 «Автоматизированные измерительные системы контроля и учета тепловой энергии. Общие технические условия», утвержденному и </w:t>
            </w: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1 июня 2016 г. № 461-ст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2016), на их основе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 </w:t>
            </w: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открытые водяные системы теплоснабжения</w:t>
            </w:r>
          </w:p>
        </w:tc>
        <w:tc>
          <w:tcPr>
            <w:tcW w:w="3118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392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± </w:t>
            </w: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121EE"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  <w:t>± 7,</w:t>
            </w:r>
            <w:r w:rsidRPr="009121EE"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val="en-US" w:eastAsia="ru-RU"/>
              </w:rPr>
              <w:t>5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не нормируется 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14.2.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массы (объема) теплоносителя в водяных системах теплоснабжения в точках учета тепловой энергии, теплоносителя: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при применении теплосчетчиков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51649-2014 «Теплосчетчики для водяных систем теплоснабжения. Общие технические условия», утвержденному и 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9 июля 2014 г. № 763-ст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2015), класса 1 и измерительных систем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56942-2016 «Автоматизированные измерительные системы контроля и учета тепловой энергии. Общие технические условия», утвержденному и 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1 июня 2016 г. № 461-ст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2016), на их основе;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при применении теплосчетчиков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51649-2014 «Теплосчетчики для водяных систем теплоснабжения. Общие технические условия», утвержденному и </w:t>
            </w: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9 июля 2014 г. № 763-ст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2015), класса 2 и измерительных систем по национальному стандарту Российской Федерации ГОСТ </w:t>
            </w:r>
            <w:proofErr w:type="gram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gram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56942-2016 «Автоматизированные измерительные системы контроля и учета тепловой энергии. Общие технические условия», утвержденному и введенному в действие приказом 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1 июня 2016 г. № 461-ст (</w:t>
            </w:r>
            <w:proofErr w:type="spellStart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Стандартинформ</w:t>
            </w:r>
            <w:proofErr w:type="spellEnd"/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2016), на их основе</w:t>
            </w:r>
          </w:p>
        </w:tc>
        <w:tc>
          <w:tcPr>
            <w:tcW w:w="3118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392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± 3,5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Calibri"/>
                <w:color w:val="000000" w:themeColor="text1"/>
                <w:sz w:val="28"/>
                <w:szCs w:val="28"/>
                <w:lang w:eastAsia="ru-RU"/>
              </w:rPr>
              <w:t>± 5,0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14.3.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тепловой энергии в паровых системах теплоснабжения в точках учета тепловой энергии, теплоносителя: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перегретый пар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насыщенный пар</w:t>
            </w:r>
          </w:p>
        </w:tc>
        <w:tc>
          <w:tcPr>
            <w:tcW w:w="3118" w:type="dxa"/>
          </w:tcPr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менее 10 % верхнего предела измерений массового расхода</w:t>
            </w: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10 до 30 % верхнего предела измерений массового расхода</w:t>
            </w: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30 до 100 %</w:t>
            </w: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верхнего предела измерений массового расхода </w:t>
            </w: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без ограничений</w:t>
            </w:r>
          </w:p>
        </w:tc>
        <w:tc>
          <w:tcPr>
            <w:tcW w:w="4392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 нормируется</w:t>
            </w: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± 5,0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± 4,0 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нормируется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14.4.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количества теплоносителя в паровых системах теплоснабжения в точках учета тепловой энергии, теплоносителя: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масса перегретого пара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масса насыщенного пара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масса (объем) возвращаемого конденсата</w:t>
            </w:r>
          </w:p>
        </w:tc>
        <w:tc>
          <w:tcPr>
            <w:tcW w:w="3118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менее 10 % верхнего предела измерений массового расхода</w:t>
            </w: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121EE" w:rsidRPr="009121EE" w:rsidRDefault="009121EE" w:rsidP="009121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10 до 100 % верхнего предела измерений массового расхода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 ограничений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392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нормируется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± 3,0 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нормируется</w:t>
            </w: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± 3,5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21EE" w:rsidRPr="009121EE" w:rsidTr="00AB4387"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1EE" w:rsidRPr="009121EE" w:rsidRDefault="009121EE" w:rsidP="009121EE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9121EE" w:rsidRPr="009121EE" w:rsidRDefault="009121EE" w:rsidP="009121E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14.</w:t>
            </w: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121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5954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Измерение массы невозвращенного теплоносителя в водяных и паровых системах теплоснабжения</w:t>
            </w:r>
          </w:p>
        </w:tc>
        <w:tc>
          <w:tcPr>
            <w:tcW w:w="3118" w:type="dxa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 ограничений</w:t>
            </w:r>
          </w:p>
        </w:tc>
        <w:tc>
          <w:tcPr>
            <w:tcW w:w="4392" w:type="dxa"/>
            <w:tcBorders>
              <w:right w:val="single" w:sz="4" w:space="0" w:color="auto"/>
            </w:tcBorders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нормируется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21EE" w:rsidRPr="009121EE" w:rsidRDefault="009121EE" w:rsidP="009121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21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:rsidR="009121EE" w:rsidRPr="009121EE" w:rsidRDefault="009121EE" w:rsidP="009121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1EE" w:rsidRDefault="009121EE" w:rsidP="009121EE"/>
    <w:sectPr w:rsidR="009121EE" w:rsidSect="00A8288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1EE" w:rsidRDefault="009121EE" w:rsidP="009121EE">
      <w:pPr>
        <w:spacing w:after="0" w:line="240" w:lineRule="auto"/>
      </w:pPr>
      <w:r>
        <w:separator/>
      </w:r>
    </w:p>
  </w:endnote>
  <w:endnote w:type="continuationSeparator" w:id="0">
    <w:p w:rsidR="009121EE" w:rsidRDefault="009121EE" w:rsidP="00912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ira_sans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1EE" w:rsidRDefault="009121EE" w:rsidP="009121EE">
      <w:pPr>
        <w:spacing w:after="0" w:line="240" w:lineRule="auto"/>
      </w:pPr>
      <w:r>
        <w:separator/>
      </w:r>
    </w:p>
  </w:footnote>
  <w:footnote w:type="continuationSeparator" w:id="0">
    <w:p w:rsidR="009121EE" w:rsidRDefault="009121EE" w:rsidP="009121EE">
      <w:pPr>
        <w:spacing w:after="0" w:line="240" w:lineRule="auto"/>
      </w:pPr>
      <w:r>
        <w:continuationSeparator/>
      </w:r>
    </w:p>
  </w:footnote>
  <w:footnote w:id="1">
    <w:p w:rsidR="009121EE" w:rsidRDefault="009121EE" w:rsidP="009121EE">
      <w:pPr>
        <w:pStyle w:val="ConsPlusNormal"/>
        <w:ind w:left="720"/>
        <w:jc w:val="both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  <w:lang w:val="en-US"/>
        </w:rPr>
        <w:t>C</w:t>
      </w:r>
      <w:r w:rsidRPr="00C56260">
        <w:rPr>
          <w:rFonts w:ascii="Times New Roman" w:hAnsi="Times New Roman"/>
        </w:rPr>
        <w:t>о скоростью, не превышающей максимальное значение скорости, установленной при испытаниях в целях утверждения типа весов</w:t>
      </w:r>
    </w:p>
    <w:p w:rsidR="009121EE" w:rsidRDefault="009121EE" w:rsidP="009121EE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0990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121EE" w:rsidRPr="006C0837" w:rsidRDefault="009121EE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6C0837">
          <w:rPr>
            <w:rFonts w:ascii="Times New Roman" w:hAnsi="Times New Roman"/>
            <w:sz w:val="28"/>
            <w:szCs w:val="28"/>
          </w:rPr>
          <w:fldChar w:fldCharType="begin"/>
        </w:r>
        <w:r w:rsidRPr="006C083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C0837">
          <w:rPr>
            <w:rFonts w:ascii="Times New Roman" w:hAnsi="Times New Roman"/>
            <w:sz w:val="28"/>
            <w:szCs w:val="28"/>
          </w:rPr>
          <w:fldChar w:fldCharType="separate"/>
        </w:r>
        <w:r w:rsidR="00A82884">
          <w:rPr>
            <w:rFonts w:ascii="Times New Roman" w:hAnsi="Times New Roman"/>
            <w:noProof/>
            <w:sz w:val="28"/>
            <w:szCs w:val="28"/>
          </w:rPr>
          <w:t>2</w:t>
        </w:r>
        <w:r w:rsidRPr="006C08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56C08"/>
    <w:multiLevelType w:val="multilevel"/>
    <w:tmpl w:val="5D9A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862664"/>
    <w:multiLevelType w:val="hybridMultilevel"/>
    <w:tmpl w:val="ABC2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EE"/>
    <w:rsid w:val="009121EE"/>
    <w:rsid w:val="00A82884"/>
    <w:rsid w:val="00E0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">
    <w:name w:val="pt-a"/>
    <w:basedOn w:val="a"/>
    <w:rsid w:val="0091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9121EE"/>
  </w:style>
  <w:style w:type="paragraph" w:customStyle="1" w:styleId="pt-consplusnormal-000001">
    <w:name w:val="pt-consplusnormal-000001"/>
    <w:basedOn w:val="a"/>
    <w:rsid w:val="0091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2">
    <w:name w:val="pt-a0-000002"/>
    <w:basedOn w:val="a0"/>
    <w:rsid w:val="009121EE"/>
  </w:style>
  <w:style w:type="paragraph" w:styleId="a3">
    <w:name w:val="header"/>
    <w:basedOn w:val="a"/>
    <w:link w:val="a4"/>
    <w:uiPriority w:val="99"/>
    <w:semiHidden/>
    <w:unhideWhenUsed/>
    <w:rsid w:val="00912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121EE"/>
  </w:style>
  <w:style w:type="paragraph" w:customStyle="1" w:styleId="ConsPlusNormal">
    <w:name w:val="ConsPlusNormal"/>
    <w:link w:val="ConsPlusNormal0"/>
    <w:rsid w:val="00912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121E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121E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121EE"/>
    <w:rPr>
      <w:vertAlign w:val="superscript"/>
    </w:rPr>
  </w:style>
  <w:style w:type="character" w:customStyle="1" w:styleId="ConsPlusNormal0">
    <w:name w:val="ConsPlusNormal Знак"/>
    <w:basedOn w:val="a0"/>
    <w:link w:val="ConsPlusNormal"/>
    <w:rsid w:val="009121E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">
    <w:name w:val="pt-a"/>
    <w:basedOn w:val="a"/>
    <w:rsid w:val="0091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">
    <w:name w:val="pt-a0"/>
    <w:basedOn w:val="a0"/>
    <w:rsid w:val="009121EE"/>
  </w:style>
  <w:style w:type="paragraph" w:customStyle="1" w:styleId="pt-consplusnormal-000001">
    <w:name w:val="pt-consplusnormal-000001"/>
    <w:basedOn w:val="a"/>
    <w:rsid w:val="0091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2">
    <w:name w:val="pt-a0-000002"/>
    <w:basedOn w:val="a0"/>
    <w:rsid w:val="009121EE"/>
  </w:style>
  <w:style w:type="paragraph" w:styleId="a3">
    <w:name w:val="header"/>
    <w:basedOn w:val="a"/>
    <w:link w:val="a4"/>
    <w:uiPriority w:val="99"/>
    <w:semiHidden/>
    <w:unhideWhenUsed/>
    <w:rsid w:val="00912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121EE"/>
  </w:style>
  <w:style w:type="paragraph" w:customStyle="1" w:styleId="ConsPlusNormal">
    <w:name w:val="ConsPlusNormal"/>
    <w:link w:val="ConsPlusNormal0"/>
    <w:rsid w:val="00912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121E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121E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121EE"/>
    <w:rPr>
      <w:vertAlign w:val="superscript"/>
    </w:rPr>
  </w:style>
  <w:style w:type="character" w:customStyle="1" w:styleId="ConsPlusNormal0">
    <w:name w:val="ConsPlusNormal Знак"/>
    <w:basedOn w:val="a0"/>
    <w:link w:val="ConsPlusNormal"/>
    <w:rsid w:val="009121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30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679D8986D749D3445A411848596F6ABA5644F7DCF5C00BA46C49E8BE38FD4DB62D833Av0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679D8986D749D3445A411848596F6ABA5747F2DAFEC00BA46C49E8BE38FD4DB62D83A454ACEF1937v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679D8986D749D3445A411848596F6ABA5644F7DCF5C00BA46C49E8BE38FD4DB62D83A735v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</dc:creator>
  <cp:lastModifiedBy>Efimov</cp:lastModifiedBy>
  <cp:revision>1</cp:revision>
  <dcterms:created xsi:type="dcterms:W3CDTF">2019-07-29T22:34:00Z</dcterms:created>
  <dcterms:modified xsi:type="dcterms:W3CDTF">2019-07-29T22:48:00Z</dcterms:modified>
</cp:coreProperties>
</file>